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 w:eastAsia="ko-KR"/>
        </w:rPr>
        <w:t>ӘЛ-ФАРАБИ АТЫНДАҒЫ ҚАЗАҚ ҰЛТТЫҚ УНИВЕРСИТЕТІ</w:t>
      </w:r>
    </w:p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Философия және саясаттану факультеті</w:t>
      </w:r>
    </w:p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Дінтану және мәдениеттану кафедрасы</w:t>
      </w:r>
    </w:p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</w:t>
      </w:r>
      <w:r w:rsidRPr="006D2C68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Қазіргі христиандық ағымдар мен бағыттар</w:t>
      </w:r>
      <w:r w:rsidRPr="006D2C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»</w:t>
      </w: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2C6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пәні бойынша </w:t>
      </w:r>
      <w:r w:rsidRPr="006D2C68"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семинар сабағына арналған оқу материалдары</w:t>
      </w: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FB7411" w:rsidP="007F4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бакалавриат, 4</w:t>
      </w:r>
      <w:r w:rsidR="007F4179" w:rsidRPr="006D2C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курс, қ/б,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күзгі (7</w:t>
      </w:r>
      <w:r w:rsidR="007F4179" w:rsidRPr="006D2C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) семестр, 3 кредит</w:t>
      </w: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F3E29" w:rsidRPr="006D2C68" w:rsidRDefault="00FB7411" w:rsidP="007F41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Алматы 2020</w:t>
      </w:r>
    </w:p>
    <w:p w:rsidR="00755165" w:rsidRPr="006D2C68" w:rsidRDefault="00755165" w:rsidP="007551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Модуль 1 </w:t>
      </w:r>
      <w:r w:rsidR="007F4179" w:rsidRPr="006D2C68">
        <w:rPr>
          <w:rFonts w:ascii="Times New Roman" w:hAnsi="Times New Roman" w:cs="Times New Roman"/>
          <w:b/>
          <w:sz w:val="28"/>
          <w:szCs w:val="28"/>
          <w:lang w:val="kk-KZ"/>
        </w:rPr>
        <w:t>Жаңа діни ағымдардың бастаулары мен типологиясы</w:t>
      </w:r>
    </w:p>
    <w:p w:rsidR="007B70F1" w:rsidRPr="006D2C68" w:rsidRDefault="007B70F1" w:rsidP="007551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7B70F1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</w:t>
      </w:r>
    </w:p>
    <w:p w:rsidR="00FB2B33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70F1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Жаңа христиандық ағымдардың таралуының негізгі ерекшеліктері</w:t>
      </w:r>
    </w:p>
    <w:p w:rsidR="007F4179" w:rsidRPr="006D2C68" w:rsidRDefault="007F4179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43C" w:rsidRPr="006D2C68" w:rsidRDefault="00C1643C" w:rsidP="008E52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- </w:t>
      </w:r>
      <w:r w:rsidR="008E5203" w:rsidRPr="008E5203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8E5203" w:rsidRPr="008E5203">
        <w:rPr>
          <w:rFonts w:ascii="Times New Roman" w:hAnsi="Times New Roman" w:cs="Times New Roman"/>
          <w:bCs/>
          <w:sz w:val="28"/>
          <w:szCs w:val="28"/>
          <w:lang w:val="kk-KZ"/>
        </w:rPr>
        <w:t>Қазіргі христиандық ағымдар мен бағыттар</w:t>
      </w:r>
      <w:r w:rsidR="008E5203" w:rsidRPr="008E5203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E5203">
        <w:rPr>
          <w:rFonts w:ascii="Times New Roman" w:hAnsi="Times New Roman" w:cs="Times New Roman"/>
          <w:sz w:val="28"/>
          <w:szCs w:val="28"/>
          <w:lang w:val="kk-KZ"/>
        </w:rPr>
        <w:t xml:space="preserve"> пәні және тарихын, дін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тарихын, пәннің мақсаттары мен міндеттерін, пәннің зерттеу нысаны мен салаларын қарастыру. Сонымен қатар, </w:t>
      </w:r>
      <w:r w:rsidR="008E5203">
        <w:rPr>
          <w:rFonts w:ascii="Times New Roman" w:hAnsi="Times New Roman" w:cs="Times New Roman"/>
          <w:sz w:val="28"/>
          <w:szCs w:val="28"/>
          <w:lang w:val="kk-KZ"/>
        </w:rPr>
        <w:t xml:space="preserve">жаңа христиандық ағымдардың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қалыптасуының алғышарттарын атап көрсету. </w:t>
      </w:r>
      <w:r w:rsidR="008E5203"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Жаңа христиандық ағымдар мен бағыттардың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пайда болуы және оған әсер еткен факторларды анықтау.</w:t>
      </w: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6D2C68" w:rsidRDefault="00C1643C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643C" w:rsidRPr="006D2C68" w:rsidRDefault="008E5203" w:rsidP="008E52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«Қазіргі христиандық ағымдар мен бағыттар»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43C"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пәні </w:t>
      </w:r>
    </w:p>
    <w:p w:rsidR="00C1643C" w:rsidRPr="006D2C68" w:rsidRDefault="008E5203" w:rsidP="008E52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«Қазіргі христиандық ағымдар мен бағыттар»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643C" w:rsidRPr="006D2C68">
        <w:rPr>
          <w:rFonts w:ascii="Times New Roman" w:hAnsi="Times New Roman" w:cs="Times New Roman"/>
          <w:sz w:val="28"/>
          <w:szCs w:val="28"/>
          <w:lang w:val="kk-KZ"/>
        </w:rPr>
        <w:t>пәнінің мақсаттары мен міндеттері</w:t>
      </w:r>
    </w:p>
    <w:p w:rsidR="00384754" w:rsidRPr="006D2C68" w:rsidRDefault="008E5203" w:rsidP="008E520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</w:t>
      </w: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христиандық ағымдар мен бағыттар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384754"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пайда болуы және оған әсер еткен факторлар</w:t>
      </w:r>
    </w:p>
    <w:p w:rsidR="00384754" w:rsidRDefault="008E5203" w:rsidP="00BD7CED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Жаңа х</w:t>
      </w:r>
      <w:r>
        <w:rPr>
          <w:rFonts w:ascii="Times New Roman" w:hAnsi="Times New Roman" w:cs="Times New Roman"/>
          <w:sz w:val="28"/>
          <w:szCs w:val="28"/>
          <w:lang w:val="kk-KZ"/>
        </w:rPr>
        <w:t>ристиандық ағымдар мен бағыттардың таралуы</w:t>
      </w:r>
    </w:p>
    <w:p w:rsidR="008E5203" w:rsidRPr="008E5203" w:rsidRDefault="008E5203" w:rsidP="008E52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384754" w:rsidRPr="006D2C68" w:rsidRDefault="00384754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 А.Ю. Новые религиозные движения. М. 2011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Дворкин А. Сектоведение, 2013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дәстүрден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культтер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[авт. Н. Ж.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б.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әл-Фараби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ҚазҰУ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: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ун-ті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8E5203" w:rsidRPr="008E5203" w:rsidRDefault="008E5203" w:rsidP="008E5203">
      <w:pPr>
        <w:numPr>
          <w:ilvl w:val="0"/>
          <w:numId w:val="19"/>
        </w:numPr>
        <w:shd w:val="clear" w:color="auto" w:fill="FFFFFF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Қазақстандағы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діндер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ред.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Алматы. - 2008. </w:t>
      </w:r>
    </w:p>
    <w:p w:rsidR="008E5203" w:rsidRDefault="008E5203" w:rsidP="00BD7CED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384754" w:rsidRPr="006D2C68" w:rsidRDefault="00384754" w:rsidP="00BD7CED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C68">
        <w:rPr>
          <w:rFonts w:ascii="Times New Roman" w:eastAsia="Calibri" w:hAnsi="Times New Roman" w:cs="Times New Roman"/>
          <w:b/>
          <w:sz w:val="28"/>
          <w:szCs w:val="28"/>
          <w:lang w:val="kk-KZ"/>
        </w:rPr>
        <w:t>Интернет-ресурстар</w:t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384754" w:rsidRPr="006D2C68" w:rsidRDefault="008E5203" w:rsidP="00BD7CED">
      <w:pPr>
        <w:pStyle w:val="BodyTextIndent"/>
        <w:numPr>
          <w:ilvl w:val="1"/>
          <w:numId w:val="3"/>
        </w:numPr>
        <w:tabs>
          <w:tab w:val="clear" w:pos="1440"/>
          <w:tab w:val="num" w:pos="5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hyperlink r:id="rId5" w:history="1">
        <w:r w:rsidR="00384754" w:rsidRPr="006D2C68">
          <w:rPr>
            <w:rStyle w:val="Hyperlink"/>
            <w:rFonts w:ascii="Times New Roman" w:hAnsi="Times New Roman" w:cs="Times New Roman"/>
            <w:sz w:val="28"/>
            <w:szCs w:val="28"/>
            <w:lang w:val="kk-KZ"/>
          </w:rPr>
          <w:t>http://ellib.library.isu.ru</w:t>
        </w:r>
      </w:hyperlink>
      <w:r w:rsidR="00384754"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6D2C68" w:rsidRDefault="00384754" w:rsidP="00BD7CED">
      <w:pPr>
        <w:pStyle w:val="BodyTextIndent"/>
        <w:numPr>
          <w:ilvl w:val="1"/>
          <w:numId w:val="3"/>
        </w:numPr>
        <w:tabs>
          <w:tab w:val="clear" w:pos="1440"/>
          <w:tab w:val="num" w:pos="57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</w:rPr>
        <w:t xml:space="preserve">Поисковый портал – издательство </w:t>
      </w:r>
      <w:hyperlink r:id="rId6" w:history="1">
        <w:r w:rsidRPr="006D2C68">
          <w:rPr>
            <w:rStyle w:val="Hyperlink"/>
            <w:rFonts w:ascii="Times New Roman" w:hAnsi="Times New Roman" w:cs="Times New Roman"/>
            <w:sz w:val="28"/>
            <w:szCs w:val="28"/>
          </w:rPr>
          <w:t>http://www.mbdocs.ru</w:t>
        </w:r>
      </w:hyperlink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84754" w:rsidRPr="006D2C68" w:rsidRDefault="00384754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FB2B33">
      <w:pPr>
        <w:pStyle w:val="BodyTextIndent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2</w:t>
      </w:r>
    </w:p>
    <w:p w:rsidR="00FB2B33" w:rsidRPr="006D2C68" w:rsidRDefault="00FB2B33" w:rsidP="00FB2B33">
      <w:pPr>
        <w:pStyle w:val="BodyTextIndent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C0584" w:rsidRPr="006D2C68" w:rsidRDefault="007F4179" w:rsidP="006D2C68">
      <w:pPr>
        <w:pStyle w:val="BodyTextIndent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Жаңа христиандық ағымдардың таралуы мен белсенділігі</w:t>
      </w:r>
    </w:p>
    <w:p w:rsidR="007F4179" w:rsidRPr="006D2C68" w:rsidRDefault="007F4179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Сабақтың мақсаты – канондардың </w:t>
      </w:r>
      <w:r w:rsidR="002C0584" w:rsidRPr="006D2C68">
        <w:rPr>
          <w:rFonts w:ascii="Times New Roman" w:hAnsi="Times New Roman" w:cs="Times New Roman"/>
          <w:sz w:val="28"/>
          <w:szCs w:val="28"/>
          <w:lang w:val="kk-KZ"/>
        </w:rPr>
        <w:t>қалыптасуына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мәселелерді, оларды </w:t>
      </w:r>
      <w:r w:rsidR="002C0584" w:rsidRPr="006D2C68">
        <w:rPr>
          <w:rFonts w:ascii="Times New Roman" w:hAnsi="Times New Roman" w:cs="Times New Roman"/>
          <w:sz w:val="28"/>
          <w:szCs w:val="28"/>
          <w:lang w:val="kk-KZ"/>
        </w:rPr>
        <w:t>Рим заңымен байланысын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қарастыру болып табылады. Шіркеудің құқықтық қызметінің негізі ретінде заңдардың маңыздылығын көрсету. </w:t>
      </w:r>
      <w:r w:rsidR="002C0584" w:rsidRPr="006D2C68">
        <w:rPr>
          <w:rFonts w:ascii="Times New Roman" w:hAnsi="Times New Roman" w:cs="Times New Roman"/>
          <w:sz w:val="28"/>
          <w:szCs w:val="28"/>
          <w:lang w:val="kk-KZ"/>
        </w:rPr>
        <w:t>Канондардың жинақталуы, жоғарғы шіркеулік билік өкілдерімен Кеңестерде қабылданған заңдардың, Рим папаларының декреттерін канондық құқық ретінде қарастыру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B2B33" w:rsidRPr="006D2C68" w:rsidRDefault="00FB2B33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384754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4754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Византия мен Грециядағы шіркеу заңын зерттеу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Канондық құқықтың Көне Өсиетпен және Рим заңымен байланысы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Рим-католик шіркеуінің жоғарғы билігі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Канондық жинақтар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I және II Дүниежүзілік Никейлік кеңесте қабылданған ережелер.</w:t>
      </w:r>
    </w:p>
    <w:p w:rsidR="00BD7CED" w:rsidRPr="006D2C68" w:rsidRDefault="00BD7CED" w:rsidP="00BD7CED">
      <w:pPr>
        <w:pStyle w:val="BodyTextIndent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451ж. Трулльдік Кеңесінің Ережелері.</w:t>
      </w:r>
    </w:p>
    <w:p w:rsidR="00BD7CED" w:rsidRPr="006D2C68" w:rsidRDefault="00BD7CED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BD7CED" w:rsidRPr="006D2C68" w:rsidRDefault="00BD7CED" w:rsidP="00BD7CED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Евдокимов А.Ю. Новые религиозные движения. М. 2011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Дворкин А. Сектоведение, 2013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Қазіргі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дәстүрден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ағымдар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культтер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[авт. Н. Ж.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 б.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] ;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әл-Фараби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атын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ҚазҰУ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</w:t>
      </w:r>
      <w:proofErr w:type="gram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 :</w:t>
      </w:r>
      <w:proofErr w:type="gram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ун-ті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, 2014.</w:t>
      </w:r>
    </w:p>
    <w:p w:rsidR="008E5203" w:rsidRPr="008E5203" w:rsidRDefault="008E5203" w:rsidP="008E520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Қазақстандағы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діндер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</w:t>
      </w:r>
      <w:proofErr w:type="spellStart"/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Байтенова</w:t>
      </w:r>
      <w:proofErr w:type="spellEnd"/>
      <w:r w:rsidRPr="008E520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ред.</w:t>
      </w:r>
      <w:r w:rsidRPr="008E52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Алматы. - 2008. </w:t>
      </w:r>
    </w:p>
    <w:p w:rsidR="00384754" w:rsidRPr="006D2C68" w:rsidRDefault="00384754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FB7411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</w:p>
    <w:p w:rsidR="00FB2B33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Неохристиандық ағымдардың жіктелуі</w:t>
      </w:r>
    </w:p>
    <w:p w:rsidR="007F4179" w:rsidRPr="006D2C68" w:rsidRDefault="007F4179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Сабақтың мақсаты - 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шіркеу мен мемлекеттің синодтық дәуірдегі қарым-қатынасын қарастыру. Орыс православие шіркеуінің синодқа дейінгі және синодтық кезеңдегі канондық құқық дереккөздерін анықтау. Шіркеу мен мемлекеттік билік арасындағы қарым-қатынастың басқа жүйелерін көрсету.</w:t>
      </w: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Мемлекет пен шіркеудің синодтық дәуірдегі қарым-қатынасы.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XV ғасырдың ортасына дейінгі шіркеулік құқықтың Орыс тіліндегі дереккөздері. 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>Шіркеу мен мемлекеттік билік арасындағы қарым-қатынастың басқа жүйелері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Патриархалдық кезеңнің шіркеу заңдарының дереккөздері.</w:t>
      </w:r>
    </w:p>
    <w:p w:rsidR="00EF472D" w:rsidRPr="006D2C68" w:rsidRDefault="00EF472D" w:rsidP="00EF472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Православие шіркеуі және басқа конфессиялар. </w:t>
      </w:r>
    </w:p>
    <w:p w:rsidR="00EF472D" w:rsidRPr="006D2C68" w:rsidRDefault="00EF472D" w:rsidP="00EF4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EF472D" w:rsidRPr="006D2C68" w:rsidRDefault="00EF472D" w:rsidP="00EF47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>Евдокимов А.Ю. Новые религиозные движения. М. 2011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Дворкин А. Сектоведение, 2013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дәстүрден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ағымдар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культтер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/ [авт. Н. Ж.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т. б.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>, 2014.</w:t>
      </w:r>
    </w:p>
    <w:p w:rsidR="008E5203" w:rsidRPr="008E5203" w:rsidRDefault="008E5203" w:rsidP="008E5203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 xml:space="preserve">Қазақстандағы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діндер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ред.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Алматы. - 2008. </w:t>
      </w:r>
    </w:p>
    <w:p w:rsidR="00C1643C" w:rsidRPr="006D2C68" w:rsidRDefault="00C1643C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 w:rsidRPr="00FB7411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</w:p>
    <w:p w:rsidR="00EF472D" w:rsidRPr="006D2C68" w:rsidRDefault="00EF472D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472D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Соңғы өсиет шіркеуінің пайда болуы</w:t>
      </w:r>
    </w:p>
    <w:p w:rsidR="007F4179" w:rsidRPr="006D2C68" w:rsidRDefault="007F4179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472D" w:rsidRPr="006D2C68" w:rsidRDefault="00EF472D" w:rsidP="00EF47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- византиялық шіркеулік заңдарының дереккөздері мен жинақтарын қарастыру. Кеңестер, патриархтар және епископтардың шешімдерін талқылау. Канондардың түсіндірмесіне тоқталу. Канондарды түсіндіруде Аристин, Зонара, Вальсамон түсіндірмелерін </w:t>
      </w:r>
      <w:r w:rsidR="00C97E48" w:rsidRPr="006D2C68">
        <w:rPr>
          <w:rFonts w:ascii="Times New Roman" w:hAnsi="Times New Roman" w:cs="Times New Roman"/>
          <w:sz w:val="28"/>
          <w:szCs w:val="28"/>
          <w:lang w:val="kk-KZ"/>
        </w:rPr>
        <w:t>қарастыру.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EF472D" w:rsidRPr="006D2C68" w:rsidRDefault="00EF472D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Византияның X-XV ғасырлардағы шіркеулік заңдарының дереккөздері мен жинақтары.</w:t>
      </w: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Кеңестер, патриархтар және епископтардың шешімдері.</w:t>
      </w: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Канондардың түсіндірмесі. Аристин, Зонара, Вальсамон.</w:t>
      </w:r>
    </w:p>
    <w:p w:rsidR="00C97E48" w:rsidRPr="006D2C68" w:rsidRDefault="00C97E48" w:rsidP="00C97E48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XIV ғасырдағы Византия шіркеулік құқығы. </w:t>
      </w:r>
    </w:p>
    <w:p w:rsidR="007B70F1" w:rsidRPr="006D2C68" w:rsidRDefault="007B70F1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6D2C68" w:rsidRDefault="00C97E48" w:rsidP="00C9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Евдокимов А.Ю. Новые религиозные движения. М. 2011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Дворкин А. Сектоведение, 2013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К. Армстронг Құдайтану баяны: Иудаизм, христиандық пен исламдағы 4000-жылдық ізденіс. А: 2018 ж. 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lastRenderedPageBreak/>
        <w:t>Қазіргі дәстүрден тыс діни ағымдар мен культтер: оқу құралы / [авт. Н. Ж. Байтенова және т. б.] ; әл-Фараби атын. ҚазҰУ. - Алматы : Қазақ ун-ті, 2014.</w:t>
      </w:r>
    </w:p>
    <w:p w:rsidR="008E5203" w:rsidRPr="008E5203" w:rsidRDefault="008E5203" w:rsidP="008E5203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Қазақстандағы діндер. Н. Байтенова ред. Алматы. - 2008. </w:t>
      </w:r>
    </w:p>
    <w:p w:rsidR="00C97E48" w:rsidRPr="006D2C68" w:rsidRDefault="00C97E48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5</w:t>
      </w: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97E48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Інжілдік христиандардың ерекше белгілері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Сабақтың мақсаты – канондық құқық дереккөздерін қарастыру. Көне Өсиет пен Жаңа Өсиетті канондық құқықтың дереккөзі ретінде қарастыру. Шіркеу заңдарының көздері, Апостолдық ережелер, Қасиетті елшілердің ережелері, Әулие Әкейлердің ережелерін оқып білу.</w:t>
      </w: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Киелі Жазба канондық құқықтың дереккөзі ретінде</w:t>
      </w: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Никей Соборына дейінгі кезеңдегі шіркеу заңдарының дереккөздері</w:t>
      </w: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Апостолдық ережелер. </w:t>
      </w:r>
    </w:p>
    <w:p w:rsidR="00C97E48" w:rsidRPr="006D2C68" w:rsidRDefault="00C97E48" w:rsidP="00C97E48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Никей Соборына дейінгі дәуірдегі Әулие Әкейлердің ережелері.</w:t>
      </w:r>
    </w:p>
    <w:p w:rsidR="00C97E48" w:rsidRPr="006D2C68" w:rsidRDefault="00C97E48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C97E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C97E48" w:rsidRPr="006D2C68" w:rsidRDefault="00C97E48" w:rsidP="00C97E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Афанасьев Н., прот. Неизменное и временное в церковных канонах. http://azbyka.ru/dictionary/10/afanasiev_neizmennoe_i_vremennoe_v_kanonahall.shtml </w:t>
      </w: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Канон - Свод законов православной Церкви. </w:t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fldChar w:fldCharType="begin"/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instrText xml:space="preserve"> HYPERLINK "http://agioskanon.ru/" </w:instrText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fldChar w:fldCharType="separate"/>
      </w:r>
      <w:r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t>http://agioskanon.ru/</w:t>
      </w:r>
      <w:r w:rsidR="008E5203" w:rsidRPr="008E5203">
        <w:rPr>
          <w:rStyle w:val="Hyperlink"/>
          <w:rFonts w:ascii="Times New Roman" w:hAnsi="Times New Roman" w:cs="Times New Roman"/>
          <w:sz w:val="28"/>
          <w:szCs w:val="28"/>
          <w:lang w:val="kk-KZ"/>
        </w:rPr>
        <w:fldChar w:fldCharType="end"/>
      </w: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C97E48" w:rsidRPr="008E5203" w:rsidRDefault="00C97E48" w:rsidP="008E5203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Светлов П., прот. О значении Священных Канонов. http://azbyka.ru/dictionary/10/kanony_pravoslavnoy_tserkvi_03-all.shtml</w:t>
      </w:r>
    </w:p>
    <w:p w:rsidR="00C97E48" w:rsidRPr="006D2C68" w:rsidRDefault="00C97E48" w:rsidP="00FB2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6</w:t>
      </w:r>
    </w:p>
    <w:p w:rsidR="00C97E48" w:rsidRPr="006D2C68" w:rsidRDefault="00C97E48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«Соңғы күн әулиелерінің Иисус Христос Шіркеуі» (мормондар)</w:t>
      </w:r>
    </w:p>
    <w:p w:rsidR="007F4179" w:rsidRPr="006D2C68" w:rsidRDefault="007F4179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Сабақтың мақсаты – шіркеудің құрамы мен шіркеудің құрылымын, яғни, шіркеу иерархиясын қаратыру. Сонымен қатар, шіркеу басшылары мен мүшелерін, монахтарды, клериктерді тағайындау, оларға қойылатын талаптарды анықтау. </w:t>
      </w: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>Шіркеу иерархиясы. Шіркеудің басшылары мен мүшелері.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Клериктерді тағайындау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Діни қызметке үміткерге қойылатын талаптар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Монахтық және монастырьлар.</w:t>
      </w:r>
    </w:p>
    <w:p w:rsidR="00214850" w:rsidRPr="006D2C68" w:rsidRDefault="00214850" w:rsidP="00214850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Клириктердің міндеттері мен құқықтары</w:t>
      </w: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214850" w:rsidRPr="006D2C68" w:rsidRDefault="00214850" w:rsidP="002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>Евдокимов А.Ю. Новые религиозные движения. М. 2011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Дворкин А. Сектоведение, 2013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Дінтану сөздігі: 3 томдық / Әл-Фарби атын. ҚазҰУ; [құраст. Н. Ж. Байтенова және т.б.]. - Алматы : Қазақ ун-ті, 2017. 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  <w:lang w:val="kk-KZ"/>
        </w:rPr>
        <w:t>К. Армстронг Құдайтану баяны: Иудаизм, христиандық пен исламдағы 4000-жылдық ізденіс. А: 2018 ж.</w:t>
      </w:r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дәстүрден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ағымдар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культтер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/ [авт. Н. Ж.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т. б.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] ;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әл-Фараби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атын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8E5203">
        <w:rPr>
          <w:rFonts w:ascii="Times New Roman" w:hAnsi="Times New Roman" w:cs="Times New Roman"/>
          <w:sz w:val="28"/>
          <w:szCs w:val="28"/>
        </w:rPr>
        <w:t>Алматы :</w:t>
      </w:r>
      <w:proofErr w:type="gram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ун-ті</w:t>
      </w:r>
      <w:proofErr w:type="spellEnd"/>
      <w:r w:rsidRPr="008E5203">
        <w:rPr>
          <w:rFonts w:ascii="Times New Roman" w:hAnsi="Times New Roman" w:cs="Times New Roman"/>
          <w:sz w:val="28"/>
          <w:szCs w:val="28"/>
        </w:rPr>
        <w:t>, 2014.</w:t>
      </w:r>
    </w:p>
    <w:p w:rsidR="008E5203" w:rsidRPr="008E5203" w:rsidRDefault="008E5203" w:rsidP="008E5203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203">
        <w:rPr>
          <w:rFonts w:ascii="Times New Roman" w:hAnsi="Times New Roman" w:cs="Times New Roman"/>
          <w:sz w:val="28"/>
          <w:szCs w:val="28"/>
        </w:rPr>
        <w:t xml:space="preserve">Қазақстандағы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діндер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Н. </w:t>
      </w:r>
      <w:proofErr w:type="spellStart"/>
      <w:r w:rsidRPr="008E5203">
        <w:rPr>
          <w:rFonts w:ascii="Times New Roman" w:hAnsi="Times New Roman" w:cs="Times New Roman"/>
          <w:sz w:val="28"/>
          <w:szCs w:val="28"/>
        </w:rPr>
        <w:t>Байтенова</w:t>
      </w:r>
      <w:proofErr w:type="spellEnd"/>
      <w:r w:rsidRPr="008E5203">
        <w:rPr>
          <w:rFonts w:ascii="Times New Roman" w:hAnsi="Times New Roman" w:cs="Times New Roman"/>
          <w:sz w:val="28"/>
          <w:szCs w:val="28"/>
          <w:lang w:val="kk-KZ"/>
        </w:rPr>
        <w:t xml:space="preserve"> ред.</w:t>
      </w:r>
      <w:r w:rsidRPr="008E5203">
        <w:rPr>
          <w:rFonts w:ascii="Times New Roman" w:hAnsi="Times New Roman" w:cs="Times New Roman"/>
          <w:sz w:val="28"/>
          <w:szCs w:val="28"/>
        </w:rPr>
        <w:t xml:space="preserve"> Алматы. - 2008. </w:t>
      </w:r>
    </w:p>
    <w:p w:rsidR="00C97E48" w:rsidRPr="006D2C68" w:rsidRDefault="00C97E48" w:rsidP="002148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97E48" w:rsidRPr="006D2C68" w:rsidRDefault="00214850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7</w:t>
      </w:r>
    </w:p>
    <w:p w:rsidR="00214850" w:rsidRPr="006D2C68" w:rsidRDefault="00214850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14850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Иегова күәгерлерінің үгіт-насихаттық жұмыстарының ерекшеліктері</w:t>
      </w:r>
    </w:p>
    <w:p w:rsidR="007F4179" w:rsidRPr="006D2C68" w:rsidRDefault="007F4179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4850" w:rsidRPr="006D2C68" w:rsidRDefault="00214850" w:rsidP="00214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Сабақтың мақсаты – шіркеуішілік және шіркеудің басқа шіркеулермен қатынасы қарастыру. Православие шіркеуінің православиелік емес шіркеулермен және христиан емес діндермен қарым-қатынасы. Шіркеу мен мемлекеттің қатынасын анықтау. Ересьтер мен бөлінулер туралы канондарды анықтау. Еретиктер мен бөлінушілердің қосылуы туралы. Орыс православие шіркеуінің қазіргі Ресей мемлекетіндегі құқықтық мәртебесі.</w:t>
      </w:r>
    </w:p>
    <w:p w:rsidR="00214850" w:rsidRPr="006D2C68" w:rsidRDefault="00214850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Талқылауға арналған сұрақтар:</w:t>
      </w:r>
    </w:p>
    <w:p w:rsidR="00FB2B33" w:rsidRPr="006D2C68" w:rsidRDefault="00FB2B33" w:rsidP="00FB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Православие шіркеуінің православиелік емес шіркеулермен және христиан емес діндермен қарым-қатынасы. </w:t>
      </w: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Шіркеу мен мемлекеттің қатынасын анықтау. </w:t>
      </w: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Ересьтер мен бөлінулер туралы канондарды анықтау. Еретиктер мен бөлінушілердің қосылуы туралы. </w:t>
      </w:r>
    </w:p>
    <w:p w:rsidR="00FB2B33" w:rsidRPr="006D2C68" w:rsidRDefault="00FB2B33" w:rsidP="00FB2B3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Орыс православие шіркеуінің қазіргі Ресей мемлекетіндегі құқықтық мәртебесі.</w:t>
      </w:r>
    </w:p>
    <w:p w:rsidR="00FB2B33" w:rsidRPr="006D2C68" w:rsidRDefault="00FB2B33" w:rsidP="00FB2B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B2B33" w:rsidRPr="006D2C68" w:rsidRDefault="00FB2B33" w:rsidP="00FB2B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Пайдалануға ұсынылатын әдебиеттер:</w:t>
      </w:r>
    </w:p>
    <w:p w:rsidR="00FB2B33" w:rsidRPr="006D2C68" w:rsidRDefault="00FB2B33" w:rsidP="00FB2B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Афанасьев Н., прот. Неизменное и временное в церковных канонах. http://azbyka.ru/dictionary/10/afanasiev_neizmennoe_i_vremennoe_v_kanonahall.shtml </w:t>
      </w: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Канон - Свод законов православной Церкви. </w:t>
      </w:r>
      <w:hyperlink r:id="rId7" w:history="1">
        <w:r w:rsidRPr="006D2C68">
          <w:rPr>
            <w:rStyle w:val="Hyperlink"/>
            <w:rFonts w:ascii="Times New Roman" w:hAnsi="Times New Roman" w:cs="Times New Roman"/>
            <w:sz w:val="28"/>
            <w:szCs w:val="28"/>
            <w:lang w:val="kk-KZ"/>
          </w:rPr>
          <w:t>http://agioskanon.ru/</w:t>
        </w:r>
      </w:hyperlink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Никодим (Милаш), епископ. Правила Православной Церкви с толкованиями. Т.I,II. М.: Международный издательский центр Православной литературы, 1994. </w:t>
      </w:r>
    </w:p>
    <w:p w:rsidR="00FB2B33" w:rsidRPr="006D2C68" w:rsidRDefault="00FB2B33" w:rsidP="00FB2B33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Светлов П., прот. О значении Священных Канонов. http://azbyka.ru/dictionary/10/kanony_pravoslavnoy_tserkvi_03-all.shtml</w:t>
      </w:r>
    </w:p>
    <w:p w:rsidR="00FB2B33" w:rsidRPr="006D2C68" w:rsidRDefault="00FB2B33" w:rsidP="00FB2B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8</w:t>
      </w: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Бірігу шіркеуі (муниттер)</w:t>
      </w:r>
      <w:hyperlink w:anchor="_Toc119135500" w:history="1">
        <w:r w:rsidRPr="006D2C68">
          <w:rPr>
            <w:rFonts w:ascii="Times New Roman" w:hAnsi="Times New Roman" w:cs="Times New Roman"/>
            <w:b/>
            <w:sz w:val="28"/>
            <w:szCs w:val="28"/>
            <w:lang w:val="kk-KZ"/>
          </w:rPr>
          <w:t xml:space="preserve"> «Құдайға бүкіл әлемдік шіркеуі»</w:t>
        </w:r>
      </w:hyperlink>
    </w:p>
    <w:p w:rsidR="00C97E48" w:rsidRPr="006D2C68" w:rsidRDefault="00C97E48" w:rsidP="006D2C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9</w:t>
      </w: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Христиандық ғылым</w:t>
      </w:r>
      <w:r w:rsidRPr="006D2C68">
        <w:rPr>
          <w:rFonts w:ascii="Times New Roman" w:hAnsi="Times New Roman" w:cs="Times New Roman"/>
          <w:sz w:val="28"/>
          <w:szCs w:val="28"/>
        </w:rPr>
        <w:t>.</w:t>
      </w:r>
      <w:r w:rsidRPr="006D2C68">
        <w:rPr>
          <w:rFonts w:ascii="Times New Roman" w:hAnsi="Times New Roman" w:cs="Times New Roman"/>
          <w:sz w:val="28"/>
          <w:szCs w:val="28"/>
          <w:lang w:val="kk-KZ"/>
        </w:rPr>
        <w:t>«Отбасы» («Құдай балалары»)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10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Жаңа апостолдық шіркеу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11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Жетінші күн адвентисттерінің діни ілімі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6D2C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12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Елуіншілер шіркеуі: тарихы және қазіргі заман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13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Методисттер және менониттер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14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Нью-Эйдж ағымдарының ерекшеліктері</w:t>
      </w:r>
    </w:p>
    <w:p w:rsidR="006D2C68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F4179" w:rsidRPr="006D2C68" w:rsidRDefault="007F4179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15</w:t>
      </w:r>
    </w:p>
    <w:p w:rsidR="007F4179" w:rsidRPr="006D2C68" w:rsidRDefault="006D2C68" w:rsidP="007F4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Қазақстандағы жаңа діни ағымдарды мемлекеттік тіркеуден өткізу мәселелері</w:t>
      </w: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F4179" w:rsidRPr="006D2C68" w:rsidRDefault="007F4179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FB2B33" w:rsidP="00FB2B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сабағына дайындалуға арналған әдістемелік нұсқаулар:</w:t>
      </w:r>
    </w:p>
    <w:p w:rsidR="00FB2B33" w:rsidRPr="006D2C68" w:rsidRDefault="00FB2B33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Студенттерді семинар сабағына дайындаған кезде келесі жұмыс тәртібі ұсынылады: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a) семинар тақырыптары бойынша оқу құралының материалын зерттеу;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б) ұсынылған әдебиеттерді оқып, қысқаша конспект құрастыру;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в) Интернет ресурстарын пайдалана отырып қосымша материалдарды таңдау;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г) қысқа жазбаларды, тезистерді дайындау. Семинар сабағына дайындық, әдетте, білім беру және зерттеу тапсырмаларын орындауды көздейді, олар бойынша студент жасауы керек: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>• осы мәселеге қатысты мәселелердің ауқымын айқындау;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• тиісті әдебиеттерді оқып үйрену;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• осы мәселе бойынша нақты материалдар мен теориялық мәлімет жинау;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• жиналған деректерді салыстыру және талдау. </w:t>
      </w:r>
    </w:p>
    <w:p w:rsidR="00BD7CED" w:rsidRPr="006D2C68" w:rsidRDefault="00BD7CED" w:rsidP="00BD7C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sz w:val="28"/>
          <w:szCs w:val="28"/>
          <w:lang w:val="kk-KZ"/>
        </w:rPr>
        <w:t xml:space="preserve">Семинар сабағына табысты дайындалудың қажетті шарты - зерттелетін көздердің жиынтығын жасау, қойылған сұрақтарға қатысты өзінің ұстанымын анықтау және оның нақты дәлелдерін келтіре отырып, баяндау тезистерін жасау. Барлық семинар сабақтарына ұсынылған дайындықпен келу міндетті. </w:t>
      </w:r>
    </w:p>
    <w:p w:rsidR="00F62D96" w:rsidRPr="006D2C68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D7CED" w:rsidRPr="006D2C68" w:rsidRDefault="00BD7CED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2D96" w:rsidRPr="006D2C68" w:rsidRDefault="00F62D96" w:rsidP="00F62D9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Дәріскер </w:t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</w:t>
      </w:r>
      <w:r w:rsidRPr="006D2C68"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   Н.С. Әлтаева</w:t>
      </w:r>
    </w:p>
    <w:p w:rsidR="00F62D96" w:rsidRPr="006D2C68" w:rsidRDefault="00F62D96" w:rsidP="008F3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F62D96" w:rsidRPr="006D2C68" w:rsidSect="00F16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92A79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5FA0"/>
    <w:multiLevelType w:val="hybridMultilevel"/>
    <w:tmpl w:val="B35AF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2C259B7"/>
    <w:multiLevelType w:val="hybridMultilevel"/>
    <w:tmpl w:val="F4144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04A73"/>
    <w:multiLevelType w:val="hybridMultilevel"/>
    <w:tmpl w:val="13F6180C"/>
    <w:lvl w:ilvl="0" w:tplc="BF1AD294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E20BB"/>
    <w:multiLevelType w:val="hybridMultilevel"/>
    <w:tmpl w:val="C1CA0DB8"/>
    <w:lvl w:ilvl="0" w:tplc="175A24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01EA7"/>
    <w:multiLevelType w:val="hybridMultilevel"/>
    <w:tmpl w:val="51DCCC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6CE4C6E"/>
    <w:multiLevelType w:val="hybridMultilevel"/>
    <w:tmpl w:val="9718EE8C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376E3279"/>
    <w:multiLevelType w:val="hybridMultilevel"/>
    <w:tmpl w:val="2C30AE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A61A60"/>
    <w:multiLevelType w:val="hybridMultilevel"/>
    <w:tmpl w:val="073A8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17257A"/>
    <w:multiLevelType w:val="hybridMultilevel"/>
    <w:tmpl w:val="E5966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D19CB"/>
    <w:multiLevelType w:val="hybridMultilevel"/>
    <w:tmpl w:val="92649B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811283"/>
    <w:multiLevelType w:val="hybridMultilevel"/>
    <w:tmpl w:val="D2F6A64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57C02794"/>
    <w:multiLevelType w:val="hybridMultilevel"/>
    <w:tmpl w:val="03F06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53362"/>
    <w:multiLevelType w:val="hybridMultilevel"/>
    <w:tmpl w:val="D3D42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A74546A"/>
    <w:multiLevelType w:val="hybridMultilevel"/>
    <w:tmpl w:val="582E34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0672A"/>
    <w:multiLevelType w:val="hybridMultilevel"/>
    <w:tmpl w:val="EC82E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47879"/>
    <w:multiLevelType w:val="hybridMultilevel"/>
    <w:tmpl w:val="BCACAB0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73A67D4D"/>
    <w:multiLevelType w:val="hybridMultilevel"/>
    <w:tmpl w:val="AE289E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5840E1F"/>
    <w:multiLevelType w:val="hybridMultilevel"/>
    <w:tmpl w:val="D0C4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04C38"/>
    <w:multiLevelType w:val="hybridMultilevel"/>
    <w:tmpl w:val="3D405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0"/>
  </w:num>
  <w:num w:numId="7">
    <w:abstractNumId w:val="12"/>
  </w:num>
  <w:num w:numId="8">
    <w:abstractNumId w:val="17"/>
  </w:num>
  <w:num w:numId="9">
    <w:abstractNumId w:val="7"/>
  </w:num>
  <w:num w:numId="10">
    <w:abstractNumId w:val="6"/>
  </w:num>
  <w:num w:numId="11">
    <w:abstractNumId w:val="16"/>
  </w:num>
  <w:num w:numId="12">
    <w:abstractNumId w:val="13"/>
  </w:num>
  <w:num w:numId="13">
    <w:abstractNumId w:val="14"/>
  </w:num>
  <w:num w:numId="14">
    <w:abstractNumId w:val="18"/>
  </w:num>
  <w:num w:numId="15">
    <w:abstractNumId w:val="5"/>
  </w:num>
  <w:num w:numId="16">
    <w:abstractNumId w:val="9"/>
  </w:num>
  <w:num w:numId="17">
    <w:abstractNumId w:val="1"/>
  </w:num>
  <w:num w:numId="18">
    <w:abstractNumId w:val="19"/>
  </w:num>
  <w:num w:numId="19">
    <w:abstractNumId w:val="10"/>
  </w:num>
  <w:num w:numId="20">
    <w:abstractNumId w:val="11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8DA"/>
    <w:rsid w:val="00071531"/>
    <w:rsid w:val="00137802"/>
    <w:rsid w:val="00214850"/>
    <w:rsid w:val="002C0584"/>
    <w:rsid w:val="00384754"/>
    <w:rsid w:val="003D6533"/>
    <w:rsid w:val="00620A2A"/>
    <w:rsid w:val="00634211"/>
    <w:rsid w:val="00654515"/>
    <w:rsid w:val="006B18DA"/>
    <w:rsid w:val="006D2C68"/>
    <w:rsid w:val="0072229B"/>
    <w:rsid w:val="00755165"/>
    <w:rsid w:val="007B70F1"/>
    <w:rsid w:val="007E1A99"/>
    <w:rsid w:val="007F4179"/>
    <w:rsid w:val="008E5203"/>
    <w:rsid w:val="008F3E29"/>
    <w:rsid w:val="00A07670"/>
    <w:rsid w:val="00B1118C"/>
    <w:rsid w:val="00BD356D"/>
    <w:rsid w:val="00BD7CED"/>
    <w:rsid w:val="00C0374D"/>
    <w:rsid w:val="00C1643C"/>
    <w:rsid w:val="00C74CA6"/>
    <w:rsid w:val="00C97E48"/>
    <w:rsid w:val="00EF472D"/>
    <w:rsid w:val="00F163D6"/>
    <w:rsid w:val="00F62D96"/>
    <w:rsid w:val="00FB2B33"/>
    <w:rsid w:val="00FB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2A95B-76DE-4CD0-B34B-24F5E60C8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2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E29"/>
    <w:pPr>
      <w:ind w:left="720"/>
      <w:contextualSpacing/>
    </w:pPr>
  </w:style>
  <w:style w:type="character" w:customStyle="1" w:styleId="shorttext">
    <w:name w:val="short_text"/>
    <w:rsid w:val="00C0374D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38475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84754"/>
    <w:pPr>
      <w:spacing w:after="120"/>
      <w:ind w:left="283"/>
    </w:pPr>
    <w:rPr>
      <w:rFonts w:eastAsiaTheme="minorEastAsia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84754"/>
    <w:rPr>
      <w:rFonts w:eastAsiaTheme="minorEastAsia"/>
      <w:lang w:eastAsia="ru-RU"/>
    </w:rPr>
  </w:style>
  <w:style w:type="paragraph" w:styleId="PlainText">
    <w:name w:val="Plain Text"/>
    <w:basedOn w:val="Normal"/>
    <w:link w:val="PlainTextChar"/>
    <w:rsid w:val="0038475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38475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gioskan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bdocs.ru" TargetMode="External"/><Relationship Id="rId5" Type="http://schemas.openxmlformats.org/officeDocument/2006/relationships/hyperlink" Target="http://ellib.library.is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8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Нурсулу</dc:creator>
  <cp:keywords/>
  <dc:description/>
  <cp:lastModifiedBy>Lenovo</cp:lastModifiedBy>
  <cp:revision>11</cp:revision>
  <dcterms:created xsi:type="dcterms:W3CDTF">2018-10-17T18:09:00Z</dcterms:created>
  <dcterms:modified xsi:type="dcterms:W3CDTF">2020-09-27T12:54:00Z</dcterms:modified>
</cp:coreProperties>
</file>